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2BF" w:rsidRPr="00272442" w:rsidRDefault="00FE22BF" w:rsidP="00FE22BF">
      <w:pPr>
        <w:widowControl/>
        <w:spacing w:line="560" w:lineRule="exact"/>
        <w:jc w:val="left"/>
        <w:rPr>
          <w:rFonts w:ascii="黑体" w:eastAsia="黑体" w:hAnsi="宋体"/>
          <w:sz w:val="32"/>
          <w:szCs w:val="32"/>
        </w:rPr>
      </w:pPr>
      <w:r w:rsidRPr="00272442">
        <w:rPr>
          <w:rFonts w:ascii="黑体" w:eastAsia="黑体" w:hAnsi="宋体" w:hint="eastAsia"/>
          <w:sz w:val="32"/>
          <w:szCs w:val="32"/>
        </w:rPr>
        <w:t>附录</w:t>
      </w:r>
      <w:r w:rsidRPr="00272442">
        <w:rPr>
          <w:rFonts w:ascii="黑体" w:eastAsia="黑体" w:hAnsi="宋体"/>
          <w:sz w:val="32"/>
          <w:szCs w:val="32"/>
        </w:rPr>
        <w:t>4</w:t>
      </w:r>
    </w:p>
    <w:p w:rsidR="00FE22BF" w:rsidRPr="0012300B" w:rsidRDefault="00FE22BF" w:rsidP="00FE22BF">
      <w:pPr>
        <w:widowControl/>
        <w:spacing w:line="560" w:lineRule="exact"/>
        <w:jc w:val="center"/>
        <w:rPr>
          <w:rFonts w:ascii="华文中宋" w:eastAsia="华文中宋" w:hAnsi="华文中宋"/>
          <w:b/>
          <w:bCs/>
          <w:sz w:val="32"/>
          <w:szCs w:val="32"/>
        </w:rPr>
      </w:pPr>
      <w:r w:rsidRPr="0012300B">
        <w:rPr>
          <w:rFonts w:ascii="华文中宋" w:eastAsia="华文中宋" w:hAnsi="华文中宋" w:hint="eastAsia"/>
          <w:b/>
          <w:bCs/>
          <w:sz w:val="32"/>
          <w:szCs w:val="32"/>
        </w:rPr>
        <w:t>原料药</w:t>
      </w:r>
    </w:p>
    <w:p w:rsidR="00FE22BF" w:rsidRPr="00272442" w:rsidRDefault="00FE22BF" w:rsidP="0012300B">
      <w:pPr>
        <w:spacing w:beforeLines="50" w:afterLines="50" w:line="560" w:lineRule="exact"/>
        <w:jc w:val="center"/>
        <w:rPr>
          <w:rFonts w:ascii="黑体" w:eastAsia="黑体"/>
          <w:sz w:val="32"/>
          <w:szCs w:val="32"/>
        </w:rPr>
      </w:pPr>
      <w:r w:rsidRPr="00272442">
        <w:rPr>
          <w:rFonts w:ascii="黑体" w:eastAsia="黑体" w:hAnsi="宋体" w:hint="eastAsia"/>
          <w:sz w:val="32"/>
          <w:szCs w:val="32"/>
        </w:rPr>
        <w:t>第一章</w:t>
      </w:r>
      <w:r w:rsidRPr="00272442">
        <w:rPr>
          <w:rFonts w:ascii="黑体" w:eastAsia="黑体" w:hAnsi="宋体"/>
          <w:sz w:val="32"/>
          <w:szCs w:val="32"/>
        </w:rPr>
        <w:t xml:space="preserve"> </w:t>
      </w:r>
      <w:r w:rsidRPr="00272442">
        <w:rPr>
          <w:rFonts w:ascii="黑体" w:eastAsia="黑体" w:hAnsi="宋体" w:hint="eastAsia"/>
          <w:sz w:val="32"/>
          <w:szCs w:val="32"/>
        </w:rPr>
        <w:t>范围</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第一条</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本附录适用于非无菌原料药生产及无菌原料药生产中非无菌生产工序的操作。原料药生产的起点及工序应当从起始物料开始，并覆盖生产的全过程。</w:t>
      </w:r>
    </w:p>
    <w:p w:rsidR="00FE22BF" w:rsidRPr="00272442" w:rsidRDefault="00FE22BF" w:rsidP="0012300B">
      <w:pPr>
        <w:spacing w:beforeLines="50" w:afterLines="50" w:line="560" w:lineRule="exact"/>
        <w:jc w:val="center"/>
        <w:rPr>
          <w:rFonts w:ascii="黑体" w:eastAsia="黑体"/>
          <w:sz w:val="32"/>
          <w:szCs w:val="32"/>
        </w:rPr>
      </w:pPr>
      <w:r w:rsidRPr="00272442">
        <w:rPr>
          <w:rFonts w:ascii="黑体" w:eastAsia="黑体" w:hAnsi="宋体" w:hint="eastAsia"/>
          <w:sz w:val="32"/>
          <w:szCs w:val="32"/>
        </w:rPr>
        <w:t>第二章</w:t>
      </w:r>
      <w:r w:rsidRPr="00272442">
        <w:rPr>
          <w:rFonts w:ascii="黑体" w:eastAsia="黑体" w:hAnsi="宋体"/>
          <w:sz w:val="32"/>
          <w:szCs w:val="32"/>
        </w:rPr>
        <w:t xml:space="preserve">  </w:t>
      </w:r>
      <w:r w:rsidRPr="00272442">
        <w:rPr>
          <w:rFonts w:ascii="黑体" w:eastAsia="黑体" w:hAnsi="宋体" w:hint="eastAsia"/>
          <w:sz w:val="32"/>
          <w:szCs w:val="32"/>
        </w:rPr>
        <w:t>厂房与设施</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第二条</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非无菌原料药精制、干燥、粉碎、包装等生产操作的暴露环境应当按照</w:t>
      </w:r>
      <w:r w:rsidRPr="00272442">
        <w:rPr>
          <w:rFonts w:ascii="仿宋_GB2312" w:eastAsia="仿宋_GB2312" w:hAnsi="宋体"/>
          <w:sz w:val="32"/>
          <w:szCs w:val="32"/>
        </w:rPr>
        <w:t>D</w:t>
      </w:r>
      <w:r w:rsidRPr="00272442">
        <w:rPr>
          <w:rFonts w:ascii="仿宋_GB2312" w:eastAsia="仿宋_GB2312" w:hAnsi="宋体" w:hint="eastAsia"/>
          <w:sz w:val="32"/>
          <w:szCs w:val="32"/>
        </w:rPr>
        <w:t>级洁净区的要求设置。</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仅用于生产外用杀虫剂、环境用消毒剂等制剂的原料药，其精制、干燥、粉碎、包装等生产操作的暴露环境可按照一般生产区的要求设置。</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法定兽药质量标准规定仅限用于药物饲料添加剂的原料药，其精制、干燥、粉碎、包装等生产操作的暴露环境可按照一般生产区的要求设置。</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第三条</w:t>
      </w:r>
      <w:r w:rsidRPr="00272442">
        <w:rPr>
          <w:rFonts w:ascii="楷体_GB2312" w:eastAsia="楷体_GB2312" w:hAnsi="宋体"/>
          <w:b/>
          <w:sz w:val="32"/>
          <w:szCs w:val="32"/>
        </w:rPr>
        <w:t xml:space="preserve"> </w:t>
      </w:r>
      <w:r w:rsidRPr="00272442">
        <w:rPr>
          <w:rFonts w:ascii="仿宋_GB2312" w:eastAsia="仿宋_GB2312" w:hAnsi="宋体" w:hint="eastAsia"/>
          <w:sz w:val="32"/>
          <w:szCs w:val="32"/>
        </w:rPr>
        <w:t>质量标准中有热原或细菌内毒素等检验项目的，厂房的设计应当特别注意防止微生物污染，根据产品的预定用途、工艺要求采取相应的控制措施。</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第四条</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质量控制实验室通常应当与生产区分开。当生产操作不影响检验结果的准确性，且检验操作对生产也无不利影响时，中间控制实验室可设在生产区内。</w:t>
      </w:r>
    </w:p>
    <w:p w:rsidR="00FE22BF" w:rsidRPr="00272442" w:rsidRDefault="00FE22BF" w:rsidP="0012300B">
      <w:pPr>
        <w:spacing w:beforeLines="50" w:afterLines="50" w:line="560" w:lineRule="exact"/>
        <w:jc w:val="center"/>
        <w:rPr>
          <w:rFonts w:ascii="黑体" w:eastAsia="黑体"/>
          <w:sz w:val="32"/>
          <w:szCs w:val="32"/>
        </w:rPr>
      </w:pPr>
      <w:r w:rsidRPr="00272442">
        <w:rPr>
          <w:rFonts w:ascii="黑体" w:eastAsia="黑体" w:hAnsi="宋体" w:hint="eastAsia"/>
          <w:sz w:val="32"/>
          <w:szCs w:val="32"/>
        </w:rPr>
        <w:t>第三章</w:t>
      </w:r>
      <w:r w:rsidRPr="00272442">
        <w:rPr>
          <w:rFonts w:ascii="黑体" w:eastAsia="黑体" w:hAnsi="宋体"/>
          <w:sz w:val="32"/>
          <w:szCs w:val="32"/>
        </w:rPr>
        <w:t xml:space="preserve"> </w:t>
      </w:r>
      <w:r w:rsidRPr="00272442">
        <w:rPr>
          <w:rFonts w:ascii="黑体" w:eastAsia="黑体" w:hAnsi="宋体" w:hint="eastAsia"/>
          <w:sz w:val="32"/>
          <w:szCs w:val="32"/>
        </w:rPr>
        <w:t>设备</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第五条</w:t>
      </w:r>
      <w:r w:rsidRPr="00272442">
        <w:rPr>
          <w:rFonts w:ascii="楷体_GB2312" w:eastAsia="楷体_GB2312" w:hAnsi="宋体"/>
          <w:b/>
          <w:sz w:val="32"/>
          <w:szCs w:val="32"/>
        </w:rPr>
        <w:t xml:space="preserve"> </w:t>
      </w:r>
      <w:r w:rsidRPr="00272442">
        <w:rPr>
          <w:rFonts w:ascii="仿宋_GB2312" w:eastAsia="仿宋_GB2312" w:hAnsi="宋体" w:hint="eastAsia"/>
          <w:sz w:val="32"/>
          <w:szCs w:val="32"/>
        </w:rPr>
        <w:t>设备所需的润滑剂、加热或冷却介质等，应当</w:t>
      </w:r>
      <w:r w:rsidRPr="00272442">
        <w:rPr>
          <w:rFonts w:ascii="仿宋_GB2312" w:eastAsia="仿宋_GB2312" w:hAnsi="宋体" w:hint="eastAsia"/>
          <w:sz w:val="32"/>
          <w:szCs w:val="32"/>
        </w:rPr>
        <w:lastRenderedPageBreak/>
        <w:t>避免与中间产品或原料药直接接触，以免影响中间产品或原料药的质量。当任何偏离上述要求的情况发生时，应当进行评估和恰当处理，保证对产品的质量和用途无不良影响。</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第六条</w:t>
      </w:r>
      <w:r w:rsidRPr="00272442">
        <w:rPr>
          <w:rFonts w:ascii="楷体_GB2312" w:eastAsia="楷体_GB2312" w:hAnsi="宋体"/>
          <w:b/>
          <w:sz w:val="32"/>
          <w:szCs w:val="32"/>
        </w:rPr>
        <w:t xml:space="preserve"> </w:t>
      </w:r>
      <w:r w:rsidRPr="00272442">
        <w:rPr>
          <w:rFonts w:ascii="仿宋_GB2312" w:eastAsia="仿宋_GB2312" w:hAnsi="宋体" w:hint="eastAsia"/>
          <w:sz w:val="32"/>
          <w:szCs w:val="32"/>
        </w:rPr>
        <w:t>生产宜使用密闭设备；密闭设备、管道可以安置于室外。使用敞口设备或打开设备操作时，应当有避免污染的措施。</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第七条</w:t>
      </w:r>
      <w:r w:rsidRPr="00272442">
        <w:rPr>
          <w:rFonts w:ascii="楷体_GB2312" w:eastAsia="楷体_GB2312" w:hAnsi="宋体"/>
          <w:b/>
          <w:sz w:val="32"/>
          <w:szCs w:val="32"/>
        </w:rPr>
        <w:t xml:space="preserve"> </w:t>
      </w:r>
      <w:r w:rsidRPr="00272442">
        <w:rPr>
          <w:rFonts w:ascii="仿宋_GB2312" w:eastAsia="仿宋_GB2312" w:hAnsi="宋体" w:hint="eastAsia"/>
          <w:sz w:val="32"/>
          <w:szCs w:val="32"/>
        </w:rPr>
        <w:t>使用同一设备生产多种中间体或原料药品种的，应当说明设备可以共用的合理性，并有防止交叉污染的措施。</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第八条</w:t>
      </w:r>
      <w:r w:rsidRPr="00272442">
        <w:rPr>
          <w:rFonts w:ascii="楷体_GB2312" w:eastAsia="楷体_GB2312" w:hAnsi="宋体"/>
          <w:b/>
          <w:sz w:val="32"/>
          <w:szCs w:val="32"/>
        </w:rPr>
        <w:t xml:space="preserve"> </w:t>
      </w:r>
      <w:r w:rsidRPr="00272442">
        <w:rPr>
          <w:rFonts w:ascii="仿宋_GB2312" w:eastAsia="仿宋_GB2312" w:hAnsi="宋体" w:hint="eastAsia"/>
          <w:sz w:val="32"/>
          <w:szCs w:val="32"/>
        </w:rPr>
        <w:t>难以清洁的设备或部件应当专用。</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第九条</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设备的清洁应当符合以下要求：</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一）同一设备连续生产同一原料药或阶段性生产连续数个批次时，宜间隔适当的时间对设备进行清洁，防止污染物（如降解产物、微生物）的累积。如有影响原料药质量的残留物，更换批次时，必须对设备进行彻底的清洁。</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（二）非专用设备更换品种生产前，必须对设备（特别是从粗品精制开始的非专用设备）进行彻底的清洁，防止交叉污染。</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（三）对残留物的可接受标准、清洁操作规程和清洁剂的选择，应当有明确规定并说明理由。</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第十条</w:t>
      </w:r>
      <w:r w:rsidRPr="00272442">
        <w:rPr>
          <w:rFonts w:ascii="楷体_GB2312" w:eastAsia="楷体_GB2312" w:hAnsi="宋体"/>
          <w:b/>
          <w:sz w:val="32"/>
          <w:szCs w:val="32"/>
        </w:rPr>
        <w:t xml:space="preserve"> </w:t>
      </w:r>
      <w:r w:rsidRPr="00272442">
        <w:rPr>
          <w:rFonts w:ascii="仿宋_GB2312" w:eastAsia="仿宋_GB2312" w:hAnsi="宋体" w:hint="eastAsia"/>
          <w:sz w:val="32"/>
          <w:szCs w:val="32"/>
        </w:rPr>
        <w:t>非无菌原料药精制工艺用水至少应当符合纯化水的质量标准。</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用于外用杀虫剂、环境用消毒剂以及法定兽药质量标准规定仅限用于药物饲料添加剂的原料药精制工艺用水至少应符合饮用水的质量标准。</w:t>
      </w:r>
    </w:p>
    <w:p w:rsidR="00FE22BF" w:rsidRPr="00272442" w:rsidRDefault="00FE22BF" w:rsidP="0012300B">
      <w:pPr>
        <w:spacing w:beforeLines="50" w:afterLines="50" w:line="560" w:lineRule="exact"/>
        <w:jc w:val="center"/>
        <w:rPr>
          <w:rFonts w:ascii="黑体" w:eastAsia="黑体"/>
          <w:sz w:val="32"/>
          <w:szCs w:val="32"/>
        </w:rPr>
      </w:pPr>
      <w:r w:rsidRPr="00272442">
        <w:rPr>
          <w:rFonts w:ascii="黑体" w:eastAsia="黑体" w:hAnsi="宋体" w:hint="eastAsia"/>
          <w:sz w:val="32"/>
          <w:szCs w:val="32"/>
        </w:rPr>
        <w:lastRenderedPageBreak/>
        <w:t>第四章</w:t>
      </w:r>
      <w:r w:rsidRPr="00272442">
        <w:rPr>
          <w:rFonts w:ascii="黑体" w:eastAsia="黑体" w:hAnsi="宋体"/>
          <w:sz w:val="32"/>
          <w:szCs w:val="32"/>
        </w:rPr>
        <w:t xml:space="preserve">  </w:t>
      </w:r>
      <w:r w:rsidRPr="00272442">
        <w:rPr>
          <w:rFonts w:ascii="黑体" w:eastAsia="黑体" w:hAnsi="宋体" w:hint="eastAsia"/>
          <w:sz w:val="32"/>
          <w:szCs w:val="32"/>
        </w:rPr>
        <w:t>物料</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第十一条</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进厂物料应当有正确清晰的标识。液体物料经取样检验合格后，可与现有的库存（如储槽中的溶剂或物料）混合。经放行后，混合物料方可使用。应当有防止将物料错放到现有库存中的操作规程。</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第十二条</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采用非专用槽车运送的大宗物料，应当采取适当措施避免槽车造成的交叉污染。</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第十三条</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大的贮存容器及其所附配件、进料管路和出料管路都应当有适当的标识。</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第十四条</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应当对每批物料至少做一项鉴别试验。如原料药生产企业有供应商审计系统时，供应商的检验报告可以用来替代其他试验项目的测试。</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第十五条</w:t>
      </w:r>
      <w:r w:rsidRPr="00272442">
        <w:rPr>
          <w:rFonts w:ascii="楷体_GB2312" w:eastAsia="楷体_GB2312" w:hAnsi="宋体"/>
          <w:b/>
          <w:sz w:val="32"/>
          <w:szCs w:val="32"/>
        </w:rPr>
        <w:t xml:space="preserve"> </w:t>
      </w:r>
      <w:r w:rsidRPr="00272442">
        <w:rPr>
          <w:rFonts w:ascii="仿宋_GB2312" w:eastAsia="仿宋_GB2312" w:hAnsi="宋体" w:hint="eastAsia"/>
          <w:sz w:val="32"/>
          <w:szCs w:val="32"/>
        </w:rPr>
        <w:t>工艺助剂、有害或有剧毒的原料、其他特殊物料或来自于本企业另一生产场地的物料可以免检，但必须取得供应商的检验报告，且检验报告显示这些物料符合规定的质量标准，还应当对其容器、标签和批号进行目检予以确认。免检应当说明理由并有正式记录。</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第十六条</w:t>
      </w:r>
      <w:r w:rsidRPr="00272442">
        <w:rPr>
          <w:rFonts w:ascii="楷体_GB2312" w:eastAsia="楷体_GB2312" w:hAnsi="宋体"/>
          <w:b/>
          <w:sz w:val="32"/>
          <w:szCs w:val="32"/>
        </w:rPr>
        <w:t xml:space="preserve"> </w:t>
      </w:r>
      <w:r w:rsidRPr="00272442">
        <w:rPr>
          <w:rFonts w:ascii="仿宋_GB2312" w:eastAsia="仿宋_GB2312" w:hAnsi="宋体" w:hint="eastAsia"/>
          <w:sz w:val="32"/>
          <w:szCs w:val="32"/>
        </w:rPr>
        <w:t>应当对首次采购的最初三批物料全检合格后，方可对后续批次进行部分项目的检验，但应当定期进行全检，并与供应商的检验报告比较。应当定期评估供应商检验报告的可靠性、准确性。</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第十七条</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对易燃易爆、强氧化性等特殊物料，应当建立专用的独立库房。可在室外存放的物料，应当存放在适当容器和环境中，并根据物料特性有清晰的标识，并在开启和</w:t>
      </w:r>
      <w:r w:rsidRPr="00272442">
        <w:rPr>
          <w:rFonts w:ascii="仿宋_GB2312" w:eastAsia="仿宋_GB2312" w:hAnsi="宋体" w:hint="eastAsia"/>
          <w:sz w:val="32"/>
          <w:szCs w:val="32"/>
        </w:rPr>
        <w:lastRenderedPageBreak/>
        <w:t>使用前应当进行适当清洁。</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第十八条</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必要时（如长期存放或贮存在热或潮湿的环境中），应当根据情况重新评估物料的质量，确定其适用性。</w:t>
      </w:r>
    </w:p>
    <w:p w:rsidR="00FE22BF" w:rsidRPr="00272442" w:rsidRDefault="00FE22BF" w:rsidP="0012300B">
      <w:pPr>
        <w:spacing w:beforeLines="50" w:afterLines="50" w:line="560" w:lineRule="exact"/>
        <w:jc w:val="center"/>
        <w:rPr>
          <w:rFonts w:ascii="黑体" w:eastAsia="黑体"/>
          <w:sz w:val="32"/>
          <w:szCs w:val="32"/>
        </w:rPr>
      </w:pPr>
      <w:r w:rsidRPr="00272442">
        <w:rPr>
          <w:rFonts w:ascii="黑体" w:eastAsia="黑体" w:hAnsi="宋体" w:hint="eastAsia"/>
          <w:sz w:val="32"/>
          <w:szCs w:val="32"/>
        </w:rPr>
        <w:t>第五章</w:t>
      </w:r>
      <w:r w:rsidRPr="00272442">
        <w:rPr>
          <w:rFonts w:ascii="黑体" w:eastAsia="黑体" w:hAnsi="宋体"/>
          <w:sz w:val="32"/>
          <w:szCs w:val="32"/>
        </w:rPr>
        <w:t xml:space="preserve"> </w:t>
      </w:r>
      <w:r w:rsidRPr="00272442">
        <w:rPr>
          <w:rFonts w:ascii="黑体" w:eastAsia="黑体" w:hAnsi="宋体" w:hint="eastAsia"/>
          <w:sz w:val="32"/>
          <w:szCs w:val="32"/>
        </w:rPr>
        <w:t>验证</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第十九条</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应当根据研发阶段或历史资料和数据确定产品的关键质量属性、影响产品关键质量属性的关键工艺参数、工艺控制及范围，通过验证证明工艺操作的重现性。</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第二十条</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验证应当包括对原料药质量（尤其是纯度和杂质等）有重要影响的关键操作。</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第二十一条</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验证的方式：</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（一）原料药生产工艺的验证方法一般应为前验证。因原料药不经常生产、批数不多或生产工艺已有变更等原因，难以从原料药的重复性生产获得现成的数据时，可进行同步验证。</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（二）如没有发生因原料、设备、系统、设施或生产工艺改变而对原料药质量有影响的重大变更时，可例外进行回顾性验证。该验证方法适用于下列情况：</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sz w:val="32"/>
          <w:szCs w:val="32"/>
        </w:rPr>
        <w:t>1.</w:t>
      </w:r>
      <w:r w:rsidRPr="00272442">
        <w:rPr>
          <w:rFonts w:ascii="仿宋_GB2312" w:eastAsia="仿宋_GB2312" w:hAnsi="宋体" w:hint="eastAsia"/>
          <w:sz w:val="32"/>
          <w:szCs w:val="32"/>
        </w:rPr>
        <w:t>关键质量属性和关键工艺参数均已确定；</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sz w:val="32"/>
          <w:szCs w:val="32"/>
        </w:rPr>
        <w:t>2.</w:t>
      </w:r>
      <w:r w:rsidRPr="00272442">
        <w:rPr>
          <w:rFonts w:ascii="仿宋_GB2312" w:eastAsia="仿宋_GB2312" w:hAnsi="宋体" w:hint="eastAsia"/>
          <w:sz w:val="32"/>
          <w:szCs w:val="32"/>
        </w:rPr>
        <w:t>已设定合适的中间控制项目和合格标准；</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sz w:val="32"/>
          <w:szCs w:val="32"/>
        </w:rPr>
        <w:t>3.</w:t>
      </w:r>
      <w:r w:rsidRPr="00272442">
        <w:rPr>
          <w:rFonts w:ascii="仿宋_GB2312" w:eastAsia="仿宋_GB2312" w:hAnsi="宋体" w:hint="eastAsia"/>
          <w:sz w:val="32"/>
          <w:szCs w:val="32"/>
        </w:rPr>
        <w:t>除操作人员失误或设备故障外，从未出现较大的工艺或产品不合格的问题；</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sz w:val="32"/>
          <w:szCs w:val="32"/>
        </w:rPr>
        <w:t>4.</w:t>
      </w:r>
      <w:r w:rsidRPr="00272442">
        <w:rPr>
          <w:rFonts w:ascii="仿宋_GB2312" w:eastAsia="仿宋_GB2312" w:hAnsi="宋体" w:hint="eastAsia"/>
          <w:sz w:val="32"/>
          <w:szCs w:val="32"/>
        </w:rPr>
        <w:t>已明确原料药的杂质情况。</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第二十二条</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验证计划：</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（一）应当根据生产工艺的复杂性和工艺变更的类别决</w:t>
      </w:r>
      <w:r w:rsidRPr="00272442">
        <w:rPr>
          <w:rFonts w:ascii="仿宋_GB2312" w:eastAsia="仿宋_GB2312" w:hAnsi="宋体" w:hint="eastAsia"/>
          <w:sz w:val="32"/>
          <w:szCs w:val="32"/>
        </w:rPr>
        <w:lastRenderedPageBreak/>
        <w:t>定工艺验证的运行次数。前验证和同步验证通常采用连续的三个合格批次，但在某些情况下，需要更多的批次才能保证工艺的一致性（如复杂的原料药生产工艺，或周期很长的原料药生产工艺）。</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（二）工艺验证期间，应当对关键工艺参数进行监控。与质量无关的参数（如与节能或设备使用相关控制的参数），无需列入工艺验证中。</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（三）工艺验证应当证明每种原料药中的关键质量属性都符合预定要求，杂质都在规定的限度内，并与工艺研发阶段或者关键的临床和毒理研究批次确定的质量属性或杂质限度的数据相当。</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第二十三条</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清洁验证：</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（一）清洁操作规程通常应当进行验证。清洁验证一般应当针对污染物、所用物料对原料药质量有较大风险的状况及工艺步骤。</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二）清洁操作规程的验证应当反映设备实际的使用情况。如果多个原料药或中间产品共用同一设备生产，且采用同一操作规程进行清洁的，则可选择有代表性的中间产品或原料药作为清洁验证的参照物。应当根据溶解度、难以清洁的程度以及残留物的限度来选择清洁参照物，而残留物的限度则需根据活性、毒性和稳定性确定。</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（三）清洁验证方案应当详细描述需清洁的对象、清洁操作规程、选用的清洁剂、可接受限度、需监控的参数以及检验方法。该方案还应当说明样品类型（化学或微生物）、</w:t>
      </w:r>
      <w:r w:rsidRPr="00272442">
        <w:rPr>
          <w:rFonts w:ascii="仿宋_GB2312" w:eastAsia="仿宋_GB2312" w:hAnsi="宋体" w:hint="eastAsia"/>
          <w:sz w:val="32"/>
          <w:szCs w:val="32"/>
        </w:rPr>
        <w:lastRenderedPageBreak/>
        <w:t>取样位置、取样方法和样品标识。使用专用生产设备且产品质量稳定的，可采用目检法确定可接受限度。</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（四）取样方法包括擦拭法、淋洗法或其他方法（如直接萃取法），以对不溶性和可溶性残留物进行检验。</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五）应当采用经验证的灵敏度高的分析方法检测残留物或污染物。每种分析方法的检测限必须足够灵敏，能达到检测残留物或污染物的限度标准。应当确定分析方法可达到的回收率。残留物的限度标准应当切实可行，并根据最有害的残留物来确定，可根据原料药的药理、毒理或生理活性来确定，也可根据原料药生产中最有害的组分来确定。</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（六）对需控制热原或细菌内毒素污染水平的生产工艺，应当在设备清洁验证中进行效果确认。</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（七）清洁操作规程经验证后应当按验证中设定的检验方法定期进行监测，保证日常生产中操作规程的有效性。</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第二十四条</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应当根据工艺及清洁工艺的运行变化评估情况，定期进行再验证。</w:t>
      </w:r>
    </w:p>
    <w:p w:rsidR="00FE22BF" w:rsidRPr="00272442" w:rsidRDefault="00FE22BF" w:rsidP="0012300B">
      <w:pPr>
        <w:spacing w:beforeLines="50" w:afterLines="50" w:line="560" w:lineRule="exact"/>
        <w:jc w:val="center"/>
        <w:rPr>
          <w:rFonts w:ascii="黑体" w:eastAsia="黑体"/>
          <w:sz w:val="32"/>
          <w:szCs w:val="32"/>
        </w:rPr>
      </w:pPr>
      <w:r w:rsidRPr="00272442">
        <w:rPr>
          <w:rFonts w:ascii="黑体" w:eastAsia="黑体" w:hAnsi="宋体" w:hint="eastAsia"/>
          <w:sz w:val="32"/>
          <w:szCs w:val="32"/>
        </w:rPr>
        <w:t>第六章</w:t>
      </w:r>
      <w:r w:rsidRPr="00272442">
        <w:rPr>
          <w:rFonts w:ascii="黑体" w:eastAsia="黑体" w:hAnsi="宋体"/>
          <w:sz w:val="32"/>
          <w:szCs w:val="32"/>
        </w:rPr>
        <w:t xml:space="preserve"> </w:t>
      </w:r>
      <w:r w:rsidRPr="00272442">
        <w:rPr>
          <w:rFonts w:ascii="黑体" w:eastAsia="黑体" w:hAnsi="宋体" w:hint="eastAsia"/>
          <w:sz w:val="32"/>
          <w:szCs w:val="32"/>
        </w:rPr>
        <w:t>文件</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第二十五条</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企业应当根据生产工艺要求、对产品质量的影响程度、物料的特性以及对供应商的质量评估情况，确定合理的物料质量标准。</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第二十六条</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中间产品或原料药生产中使用的某些材料，如工艺助剂、垫圈或其他材料，可能对质量有重要影响时，也应当制定相应材料的质量标准。</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第二十七条</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原料药的生产工艺规程应当包括：</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lastRenderedPageBreak/>
        <w:t>（一）所生产的中间产品或原料药名称。</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（二）标有名称和代码的原料和中间产品的完整清单。</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（三）准确陈述每种原料或中间产品的投料量或投料比，包括计量单位。如果投料量不固定，应当注明每种批量或产率的计算方法。如有正当理由，可制定投料量合理变动的范围。</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（四）生产地点、主要设备（型号及材质等）。</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（五）生产操作的详细说明，包括：</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sz w:val="32"/>
          <w:szCs w:val="32"/>
        </w:rPr>
        <w:t>1.</w:t>
      </w:r>
      <w:r w:rsidRPr="00272442">
        <w:rPr>
          <w:rFonts w:ascii="仿宋_GB2312" w:eastAsia="仿宋_GB2312" w:hAnsi="宋体" w:hint="eastAsia"/>
          <w:sz w:val="32"/>
          <w:szCs w:val="32"/>
        </w:rPr>
        <w:t>操作顺序；</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sz w:val="32"/>
          <w:szCs w:val="32"/>
        </w:rPr>
        <w:t>2.</w:t>
      </w:r>
      <w:r w:rsidRPr="00272442">
        <w:rPr>
          <w:rFonts w:ascii="仿宋_GB2312" w:eastAsia="仿宋_GB2312" w:hAnsi="宋体" w:hint="eastAsia"/>
          <w:sz w:val="32"/>
          <w:szCs w:val="32"/>
        </w:rPr>
        <w:t>所用工艺参数的范围；</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sz w:val="32"/>
          <w:szCs w:val="32"/>
        </w:rPr>
        <w:t>3.</w:t>
      </w:r>
      <w:r w:rsidRPr="00272442">
        <w:rPr>
          <w:rFonts w:ascii="仿宋_GB2312" w:eastAsia="仿宋_GB2312" w:hAnsi="宋体" w:hint="eastAsia"/>
          <w:sz w:val="32"/>
          <w:szCs w:val="32"/>
        </w:rPr>
        <w:t>取样方法说明，所用原料、中间产品及成品的质量标准；</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sz w:val="32"/>
          <w:szCs w:val="32"/>
        </w:rPr>
        <w:t>4.</w:t>
      </w:r>
      <w:r w:rsidRPr="00272442">
        <w:rPr>
          <w:rFonts w:ascii="仿宋_GB2312" w:eastAsia="仿宋_GB2312" w:hAnsi="宋体" w:hint="eastAsia"/>
          <w:sz w:val="32"/>
          <w:szCs w:val="32"/>
        </w:rPr>
        <w:t>完成单个步骤或整个工艺过程的时限（如适用）；</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sz w:val="32"/>
          <w:szCs w:val="32"/>
        </w:rPr>
        <w:t>5.</w:t>
      </w:r>
      <w:r w:rsidRPr="00272442">
        <w:rPr>
          <w:rFonts w:ascii="仿宋_GB2312" w:eastAsia="仿宋_GB2312" w:hAnsi="宋体" w:hint="eastAsia"/>
          <w:sz w:val="32"/>
          <w:szCs w:val="32"/>
        </w:rPr>
        <w:t>按生产阶段或时限计算的预期收率范围；</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sz w:val="32"/>
          <w:szCs w:val="32"/>
        </w:rPr>
        <w:t>6.</w:t>
      </w:r>
      <w:r w:rsidRPr="00272442">
        <w:rPr>
          <w:rFonts w:ascii="仿宋_GB2312" w:eastAsia="仿宋_GB2312" w:hAnsi="宋体" w:hint="eastAsia"/>
          <w:sz w:val="32"/>
          <w:szCs w:val="32"/>
        </w:rPr>
        <w:t>必要时，需遵循的特殊预防措施、注意事项或有关参照内容；</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sz w:val="32"/>
          <w:szCs w:val="32"/>
        </w:rPr>
        <w:t>7.</w:t>
      </w:r>
      <w:r w:rsidRPr="00272442">
        <w:rPr>
          <w:rFonts w:ascii="仿宋_GB2312" w:eastAsia="仿宋_GB2312" w:hAnsi="宋体" w:hint="eastAsia"/>
          <w:sz w:val="32"/>
          <w:szCs w:val="32"/>
        </w:rPr>
        <w:t>可保证中间产品或原料药适用性的贮存要求，包括标签、包装材料和特殊贮存条件以及期限。</w:t>
      </w:r>
    </w:p>
    <w:p w:rsidR="00FE22BF" w:rsidRPr="00272442" w:rsidRDefault="00FE22BF" w:rsidP="0012300B">
      <w:pPr>
        <w:spacing w:beforeLines="50" w:afterLines="50" w:line="560" w:lineRule="exact"/>
        <w:jc w:val="center"/>
        <w:rPr>
          <w:rFonts w:ascii="黑体" w:eastAsia="黑体"/>
          <w:sz w:val="32"/>
          <w:szCs w:val="32"/>
        </w:rPr>
      </w:pPr>
      <w:r w:rsidRPr="00272442">
        <w:rPr>
          <w:rFonts w:ascii="黑体" w:eastAsia="黑体" w:hAnsi="宋体" w:hint="eastAsia"/>
          <w:sz w:val="32"/>
          <w:szCs w:val="32"/>
        </w:rPr>
        <w:t>第七章</w:t>
      </w:r>
      <w:r w:rsidRPr="00272442">
        <w:rPr>
          <w:rFonts w:ascii="黑体" w:eastAsia="黑体" w:hAnsi="宋体"/>
          <w:sz w:val="32"/>
          <w:szCs w:val="32"/>
        </w:rPr>
        <w:t xml:space="preserve"> </w:t>
      </w:r>
      <w:r w:rsidRPr="00272442">
        <w:rPr>
          <w:rFonts w:ascii="黑体" w:eastAsia="黑体" w:hAnsi="宋体" w:hint="eastAsia"/>
          <w:sz w:val="32"/>
          <w:szCs w:val="32"/>
        </w:rPr>
        <w:t>生产管理</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第二十八条</w:t>
      </w:r>
      <w:r w:rsidRPr="00272442">
        <w:rPr>
          <w:rFonts w:ascii="楷体_GB2312" w:eastAsia="楷体_GB2312" w:hAnsi="宋体"/>
          <w:b/>
          <w:sz w:val="32"/>
          <w:szCs w:val="32"/>
        </w:rPr>
        <w:t xml:space="preserve"> </w:t>
      </w:r>
      <w:r w:rsidRPr="00272442">
        <w:rPr>
          <w:rFonts w:ascii="仿宋_GB2312" w:eastAsia="仿宋_GB2312" w:hAnsi="宋体" w:hint="eastAsia"/>
          <w:sz w:val="32"/>
          <w:szCs w:val="32"/>
        </w:rPr>
        <w:t>生产操作：</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（一）原料应当在适宜的条件下称量，以免影响其适用性。称量的装置应当具有与使用目的相适应的精度。</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（二）如将物料分装后用于生产的，应当使用适当的分装容器。分装容器应当有标识并标明以下内容：</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sz w:val="32"/>
          <w:szCs w:val="32"/>
        </w:rPr>
        <w:lastRenderedPageBreak/>
        <w:t>1.</w:t>
      </w:r>
      <w:r w:rsidRPr="00272442">
        <w:rPr>
          <w:rFonts w:ascii="仿宋_GB2312" w:eastAsia="仿宋_GB2312" w:hAnsi="宋体" w:hint="eastAsia"/>
          <w:sz w:val="32"/>
          <w:szCs w:val="32"/>
        </w:rPr>
        <w:t>物料的名称或代码；</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sz w:val="32"/>
          <w:szCs w:val="32"/>
        </w:rPr>
        <w:t>2.</w:t>
      </w:r>
      <w:r w:rsidRPr="00272442">
        <w:rPr>
          <w:rFonts w:ascii="仿宋_GB2312" w:eastAsia="仿宋_GB2312" w:hAnsi="宋体" w:hint="eastAsia"/>
          <w:sz w:val="32"/>
          <w:szCs w:val="32"/>
        </w:rPr>
        <w:t>接收批号或流水号；</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sz w:val="32"/>
          <w:szCs w:val="32"/>
        </w:rPr>
        <w:t>3.</w:t>
      </w:r>
      <w:r w:rsidRPr="00272442">
        <w:rPr>
          <w:rFonts w:ascii="仿宋_GB2312" w:eastAsia="仿宋_GB2312" w:hAnsi="宋体" w:hint="eastAsia"/>
          <w:sz w:val="32"/>
          <w:szCs w:val="32"/>
        </w:rPr>
        <w:t>分装容器中物料的重量或数量；</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sz w:val="32"/>
          <w:szCs w:val="32"/>
        </w:rPr>
        <w:t>4.</w:t>
      </w:r>
      <w:r w:rsidRPr="00272442">
        <w:rPr>
          <w:rFonts w:ascii="仿宋_GB2312" w:eastAsia="仿宋_GB2312" w:hAnsi="宋体" w:hint="eastAsia"/>
          <w:sz w:val="32"/>
          <w:szCs w:val="32"/>
        </w:rPr>
        <w:t>必要时，标明复验或重新评估日期。</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（三）关键的称量或分装操作应当有复核或有类似的控制手段。使用前，生产人员应当核实所用物料正确无误。</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四）应当将生产过程中指定步骤的实际收率与预期收率比较。预期收率的范围应当根据以前的实验室、中试或生产的数据来确定。应当对关键工艺步骤收率的偏差进行调查，确定偏差对相关批次产品质量的影响或潜在影响。</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（五）应当遵循工艺规程中有关时限控制的规定。发生偏差时，应当作记录并进行评价。反应终点或加工步骤的完成是根据中间控制的取样和检验来确定的，则不适用时限控制。</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（六）需进一步加工的中间产品应当在适宜的条件下存放，确保其适用性。</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第二十九条</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生产的中间控制和取样：</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一）应当综合考虑所生产原料药的特性、反应类型、工艺步骤对产品质量影响的大小等因素来确定控制标准、检验类型和范围。前期生产的中间控制严格程度可较低，越接近最终工序（如分离和纯化）中间控制越严格。</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（二）有资质的生产部门人员可进行中间控制，并可在质量管理部门事先批准的范围内对生产操作进行必要的调整。在调整过程中发生的中间控制检验结果超标通常不需要</w:t>
      </w:r>
      <w:r w:rsidRPr="00272442">
        <w:rPr>
          <w:rFonts w:ascii="仿宋_GB2312" w:eastAsia="仿宋_GB2312" w:hAnsi="宋体" w:hint="eastAsia"/>
          <w:sz w:val="32"/>
          <w:szCs w:val="32"/>
        </w:rPr>
        <w:lastRenderedPageBreak/>
        <w:t>进行调查。</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（三）应当制定操作规程，详细规定中间产品和原料药的取样方法。</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（四）应当按照操作规程进行取样，取样后样品密封完好，防止所取的中间产品和原料药样品被污染。</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第三十条</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病毒的去除或灭活：</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（一）应当按照经验证的操作规程进行病毒去除和灭活。</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（二）应当采取必要的措施，防止病毒去除和灭活操作后可能的病毒污染。敞口操作区应当与其他操作区分开，并设独立的空调净化系统。</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（三）同一设备通常不得用于不同产品或同一产品不同阶段的纯化操作。如果使用同一设备，应当采取适当的清洁和消毒措施，防止病毒通过设备或环境由前次纯化操作带入后续纯化操作。</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第三十一条</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原料药或中间产品的混合：</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一）本条中的混合指将符合同一质量标准的原料药或中间产品合并，以得到均一产品的工艺过程。将来自同一批次的各部分产品（如同一结晶批号的中间产品分数次离心）在生产中进行合并，或将几个批次的中间产品合并在一起作进一步加工，可作为生产工艺的组成部分，不视为混合。</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（二）不得将不合格批次与其他合格批次混合。</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（三）拟混合的每批产品均应当按照规定的工艺生产、单独检验，并符合相应质量标准。</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（四）混合操作可包括：</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sz w:val="32"/>
          <w:szCs w:val="32"/>
        </w:rPr>
        <w:lastRenderedPageBreak/>
        <w:t>1.</w:t>
      </w:r>
      <w:r w:rsidRPr="00272442">
        <w:rPr>
          <w:rFonts w:ascii="仿宋_GB2312" w:eastAsia="仿宋_GB2312" w:hAnsi="宋体" w:hint="eastAsia"/>
          <w:sz w:val="32"/>
          <w:szCs w:val="32"/>
        </w:rPr>
        <w:t>将数个小批次混合以增加批量；</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sz w:val="32"/>
          <w:szCs w:val="32"/>
        </w:rPr>
        <w:t>2.</w:t>
      </w:r>
      <w:r w:rsidRPr="00272442">
        <w:rPr>
          <w:rFonts w:ascii="仿宋_GB2312" w:eastAsia="仿宋_GB2312" w:hAnsi="宋体" w:hint="eastAsia"/>
          <w:sz w:val="32"/>
          <w:szCs w:val="32"/>
        </w:rPr>
        <w:t>将同一原料药的多批零头产品混合成为一个批次。</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（五）混合过程应当加以控制并有完整记录，混合后的批次应当进行检验，确认其符合质量标准。</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（六）混合的批记录应当能够追溯到参与混合的每个单独批次。</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（七）物理性质至关重要的原料药（如用于口服固体制剂或混悬剂的原料药），其混合工艺应当进行验证，验证包括证明混合批次的质量均一性及对关键特性（如粒径分布、松密度和堆密度）的检测。</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（八）混合可能对产品的稳定性产生不利影响的，应当对最终混合的批次进行稳定性考察。</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（九）混合批次的有效期应当根据参与混合的最早批次产品的生产日期确定。</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第三十二条</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生产批次的划分原则：</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（一）连续生产的原料药，在一定时间间隔内生产的在规定限度内的均质产品为一批。</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（二）间歇生产的原料药，可由一定数量的产品经最后混合所得的在规定限度内的均质产品为一批。</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第三十三条</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污染的控制：</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（一）同一中间产品或原料药的残留物带入后续数个批次中的，应当严格控制。带入的残留物不得引入降解物或微生物污染，也不得对原料药的杂质分布产生不利影响。</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（二）生产操作应当能够防止中间产品或原料药被其他</w:t>
      </w:r>
      <w:r w:rsidRPr="00272442">
        <w:rPr>
          <w:rFonts w:ascii="仿宋_GB2312" w:eastAsia="仿宋_GB2312" w:hAnsi="宋体" w:hint="eastAsia"/>
          <w:sz w:val="32"/>
          <w:szCs w:val="32"/>
        </w:rPr>
        <w:lastRenderedPageBreak/>
        <w:t>物料污染。</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（三）原料药精制后的操作，应当特别注意防止污染。</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第三十四条</w:t>
      </w:r>
      <w:r w:rsidRPr="00272442">
        <w:rPr>
          <w:rFonts w:ascii="楷体_GB2312" w:eastAsia="楷体_GB2312" w:hAnsi="宋体"/>
          <w:b/>
          <w:sz w:val="32"/>
          <w:szCs w:val="32"/>
        </w:rPr>
        <w:t xml:space="preserve"> </w:t>
      </w:r>
      <w:r w:rsidRPr="00272442">
        <w:rPr>
          <w:rFonts w:ascii="仿宋_GB2312" w:eastAsia="仿宋_GB2312" w:hAnsi="宋体" w:hint="eastAsia"/>
          <w:sz w:val="32"/>
          <w:szCs w:val="32"/>
        </w:rPr>
        <w:t>原料药或中间产品的包装：</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（一）容器应当能够保护中间产品和原料药，使其在运输和规定的贮存条件下不变质、不受污染。容器不得因与产品发生反应、释放物质或吸附作用而影响中间产品或原料药的质量。</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（二）应当对容器进行清洁，如中间产品或原料药的性质有要求时，还应当进行消毒，确保其适用性。</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（三）应当按照操作规程对可以重复使用的容器进行清洁，并去除或涂毁容器上原有的标签。</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（四）应当对需外运的中间产品或原料药的容器采取适当的封装措施，便于发现封装状态的变化。</w:t>
      </w:r>
    </w:p>
    <w:p w:rsidR="00FE22BF" w:rsidRPr="00272442" w:rsidRDefault="00FE22BF" w:rsidP="0012300B">
      <w:pPr>
        <w:spacing w:beforeLines="50" w:afterLines="50" w:line="560" w:lineRule="exact"/>
        <w:jc w:val="center"/>
        <w:rPr>
          <w:rFonts w:ascii="黑体" w:eastAsia="黑体"/>
          <w:sz w:val="32"/>
          <w:szCs w:val="32"/>
        </w:rPr>
      </w:pPr>
      <w:r w:rsidRPr="00272442">
        <w:rPr>
          <w:rFonts w:ascii="黑体" w:eastAsia="黑体" w:hAnsi="宋体" w:hint="eastAsia"/>
          <w:sz w:val="32"/>
          <w:szCs w:val="32"/>
        </w:rPr>
        <w:t>第八章</w:t>
      </w:r>
      <w:r w:rsidRPr="00272442">
        <w:rPr>
          <w:rFonts w:ascii="黑体" w:eastAsia="黑体" w:hAnsi="宋体"/>
          <w:sz w:val="32"/>
          <w:szCs w:val="32"/>
        </w:rPr>
        <w:t xml:space="preserve"> </w:t>
      </w:r>
      <w:r w:rsidRPr="00272442">
        <w:rPr>
          <w:rFonts w:ascii="黑体" w:eastAsia="黑体" w:hAnsi="宋体" w:hint="eastAsia"/>
          <w:sz w:val="32"/>
          <w:szCs w:val="32"/>
        </w:rPr>
        <w:t>不合格中间品或原料药的处理</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第三十五条</w:t>
      </w:r>
      <w:r w:rsidRPr="00272442">
        <w:rPr>
          <w:rFonts w:ascii="楷体_GB2312" w:eastAsia="楷体_GB2312" w:hAnsi="宋体"/>
          <w:b/>
          <w:sz w:val="32"/>
          <w:szCs w:val="32"/>
        </w:rPr>
        <w:t xml:space="preserve"> </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不合格的中间产品和原料药可按第三十六条、第三十七条的要求进行返工或重新加工。不合格物料的最终处理情况应当有记录。</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第三十六条</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返工：</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（一）不符合质量标准的中间产品或原料药可重复既定生产工艺中的步骤，进行重结晶等其他物理、化学处理，如蒸馏、过滤、层析、粉碎方法。</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（二）多数批次都要进行的返工，应当作为一个工艺步骤列入常规的生产工艺中。</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（三）除已列入常规生产工艺的返工外，应当对将未反</w:t>
      </w:r>
      <w:r w:rsidRPr="00272442">
        <w:rPr>
          <w:rFonts w:ascii="仿宋_GB2312" w:eastAsia="仿宋_GB2312" w:hAnsi="宋体" w:hint="eastAsia"/>
          <w:sz w:val="32"/>
          <w:szCs w:val="32"/>
        </w:rPr>
        <w:lastRenderedPageBreak/>
        <w:t>应的物料返回至某一工艺步骤并重复进行化学反应的返工进行评估，确保中间产品或原料药的质量未受到生成副产物和过度反应物的不利影响。</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（四）经中间控制检测表明某一工艺步骤尚未完成，仍可按正常工艺继续操作，不属于返工。</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第三十七条</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重新加工：</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（一）应当对重新加工的批次进行评估、检验及必要的稳定性考察，并有完整的文件和记录，证明重新加工后的产品与原工艺生产的产品质量相同。可采用同步验证的方式确定重新加工的操作规程和预期结果。</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（二）应当按照经验证的操作规程进行重新加工，将重新加工的每个批次的杂质分布与正常工艺生产的批次进行比较。常规检验方法不足以说明重新加工批次特性的，还应当采用其他的方法。</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第三十八条</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物料和溶剂的回收：</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（一）回收反应物、中间产品或原料药（如从母液或滤液中回收），应当有经批准的回收操作规程，且回收的物料或产品符合与预定用途相适应的质量标准。</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二）溶剂可以回收。回收的溶剂在同品种相同或不同的工艺步骤中重新使用的，应当对回收过程进行控制和监测，确保回收的溶剂符合适当的质量标准。回收的溶剂用于其他品种的，应当证明不会对产品质量有不利影响。</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（三）未使用过和回收的溶剂混合时，应当有足够的数据表明其对生产工艺的适用性。</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lastRenderedPageBreak/>
        <w:t>（四）回收的母液和溶剂以及其他回收物料的回收与使用，应当有完整、可追溯的记录，并定期检测杂质。</w:t>
      </w:r>
    </w:p>
    <w:p w:rsidR="00FE22BF" w:rsidRPr="00272442" w:rsidRDefault="00FE22BF" w:rsidP="0012300B">
      <w:pPr>
        <w:spacing w:beforeLines="50" w:afterLines="50" w:line="560" w:lineRule="exact"/>
        <w:jc w:val="center"/>
        <w:rPr>
          <w:rFonts w:ascii="黑体" w:eastAsia="黑体"/>
          <w:sz w:val="32"/>
          <w:szCs w:val="32"/>
        </w:rPr>
      </w:pPr>
      <w:r w:rsidRPr="00272442">
        <w:rPr>
          <w:rFonts w:ascii="黑体" w:eastAsia="黑体" w:hAnsi="宋体" w:hint="eastAsia"/>
          <w:sz w:val="32"/>
          <w:szCs w:val="32"/>
        </w:rPr>
        <w:t>第九章</w:t>
      </w:r>
      <w:r w:rsidRPr="00272442">
        <w:rPr>
          <w:rFonts w:ascii="黑体" w:eastAsia="黑体" w:hAnsi="宋体"/>
          <w:sz w:val="32"/>
          <w:szCs w:val="32"/>
        </w:rPr>
        <w:t xml:space="preserve"> </w:t>
      </w:r>
      <w:r w:rsidRPr="00272442">
        <w:rPr>
          <w:rFonts w:ascii="黑体" w:eastAsia="黑体" w:hAnsi="宋体" w:hint="eastAsia"/>
          <w:sz w:val="32"/>
          <w:szCs w:val="32"/>
        </w:rPr>
        <w:t>质量管理</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第三十九条</w:t>
      </w:r>
      <w:r w:rsidRPr="00272442">
        <w:rPr>
          <w:rFonts w:ascii="楷体_GB2312" w:eastAsia="楷体_GB2312" w:hAnsi="宋体"/>
          <w:b/>
          <w:sz w:val="32"/>
          <w:szCs w:val="32"/>
        </w:rPr>
        <w:t xml:space="preserve"> </w:t>
      </w:r>
      <w:r w:rsidRPr="00272442">
        <w:rPr>
          <w:rFonts w:ascii="仿宋_GB2312" w:eastAsia="仿宋_GB2312" w:hAnsi="宋体" w:hint="eastAsia"/>
          <w:sz w:val="32"/>
          <w:szCs w:val="32"/>
        </w:rPr>
        <w:t>原料药质量标准应当包括对杂质的控制（如有机杂质、无机杂质、残留溶剂）。原料药有微生物或细菌内毒素控制要求的，还应当制定相应的限度标准。</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第四十条</w:t>
      </w:r>
      <w:r w:rsidRPr="00272442">
        <w:rPr>
          <w:rFonts w:ascii="楷体_GB2312" w:eastAsia="楷体_GB2312" w:hAnsi="宋体"/>
          <w:b/>
          <w:sz w:val="32"/>
          <w:szCs w:val="32"/>
        </w:rPr>
        <w:t xml:space="preserve"> </w:t>
      </w:r>
      <w:r w:rsidRPr="00272442">
        <w:rPr>
          <w:rFonts w:ascii="仿宋_GB2312" w:eastAsia="仿宋_GB2312" w:hAnsi="宋体" w:hint="eastAsia"/>
          <w:sz w:val="32"/>
          <w:szCs w:val="32"/>
        </w:rPr>
        <w:t>按受控的常规生产工艺生产的每种原料药应当有杂质档案。杂质档案应当描述产品中存在的已知和未知的杂质情况，注明观察到的每一杂质的鉴别或定性分析指标（如保留时间）、杂质含量范围，以及已确认杂质的类别（如有机杂质、无机杂质、溶剂）。杂质分布一般与原料药的生产工艺和所用起始原料有关，从植物或动物组织制得的原料药、发酵生产的原料药的杂质档案通常不一定有杂质分布图。</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第四十一条</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应当定期将产品的杂质分析资料与注册申报资料中的杂质档案，或与以往的杂质数据相比较，查明原料、设备运行参数和生产工艺的变更所致原料药质量的变化。</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第四十二条</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原料药的持续稳定性考察：</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（一）稳定性考察样品的包装方式和包装材质应当与上市产品相同或相仿。</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（二）正常批量生产的最初三批产品应当列入持续稳定性考察计划，以进一步确认有效期。</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（三）有效期短的原料药，在进行持续稳定性考察时应适当增加检验频次。</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第四十三条</w:t>
      </w:r>
      <w:r w:rsidRPr="00272442">
        <w:rPr>
          <w:rFonts w:ascii="楷体_GB2312" w:eastAsia="楷体_GB2312" w:hAnsi="宋体"/>
          <w:b/>
          <w:sz w:val="32"/>
          <w:szCs w:val="32"/>
        </w:rPr>
        <w:t xml:space="preserve"> </w:t>
      </w:r>
      <w:r w:rsidRPr="00272442">
        <w:rPr>
          <w:rFonts w:ascii="仿宋_GB2312" w:eastAsia="仿宋_GB2312" w:hAnsi="宋体" w:hint="eastAsia"/>
          <w:sz w:val="32"/>
          <w:szCs w:val="32"/>
        </w:rPr>
        <w:t>产品质量审核：</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lastRenderedPageBreak/>
        <w:t>原料药的定期质量审核应当以证实工艺的一致性为目的来实施。此种审核通常应每年进行一次并记录，其内容至少应当包括：</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（一）对关键中间过程控制及关键原料药检验结果的审核；</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（二）所有不符合已经确定的质量标准批次的审核；</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（三）所有关键偏差或违规行为，以及相关调查的审核；</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（四）任何对工艺或分析方法实施的变更的审核；</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（五）稳定性监测的审核；</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（六）所有与质量相关的退货、投诉和召回的审核；</w:t>
      </w:r>
      <w:r w:rsidRPr="00272442">
        <w:rPr>
          <w:rFonts w:ascii="仿宋_GB2312" w:eastAsia="仿宋_GB2312" w:hAnsi="宋体"/>
          <w:sz w:val="32"/>
          <w:szCs w:val="32"/>
        </w:rPr>
        <w:t xml:space="preserve"> </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（七）整改措施适当性的审核和对上一年度整改措施的回顾确认。</w:t>
      </w:r>
    </w:p>
    <w:p w:rsidR="00FE22BF" w:rsidRPr="00272442" w:rsidRDefault="00FE22BF" w:rsidP="0012300B">
      <w:pPr>
        <w:spacing w:beforeLines="50" w:afterLines="50" w:line="560" w:lineRule="exact"/>
        <w:jc w:val="center"/>
        <w:rPr>
          <w:rFonts w:ascii="黑体" w:eastAsia="黑体"/>
          <w:sz w:val="32"/>
          <w:szCs w:val="32"/>
        </w:rPr>
      </w:pPr>
      <w:r w:rsidRPr="00272442">
        <w:rPr>
          <w:rFonts w:ascii="黑体" w:eastAsia="黑体" w:hAnsi="宋体" w:hint="eastAsia"/>
          <w:sz w:val="32"/>
          <w:szCs w:val="32"/>
        </w:rPr>
        <w:t>第十章 采用传统发酵工艺生产原料药的特殊要求</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第四十四条</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采用传统发酵工艺生产原料药的，应当在生产过程中采取防止微生物污染的措施。</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第四十五条</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工艺控制应当重点考虑以下内容：</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（一）工作菌种的维护。</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（二）接种和扩增培养的控制。</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（三）发酵过程中关键工艺参数的确定和监控。</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（四）菌体生长、产率的监控。</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（五）收集和纯化工艺过程需保护中间产品和原料药不受污染。</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（六）在适当的生产阶段进行微生物污染水平监控，必要时进行细菌内毒素监测。</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lastRenderedPageBreak/>
        <w:t>第四十六条</w:t>
      </w:r>
      <w:r w:rsidRPr="00272442">
        <w:rPr>
          <w:rFonts w:ascii="楷体_GB2312" w:eastAsia="楷体_GB2312" w:hAnsi="宋体"/>
          <w:b/>
          <w:sz w:val="32"/>
          <w:szCs w:val="32"/>
        </w:rPr>
        <w:t xml:space="preserve"> </w:t>
      </w:r>
      <w:r w:rsidRPr="00272442">
        <w:rPr>
          <w:rFonts w:ascii="仿宋_GB2312" w:eastAsia="仿宋_GB2312" w:hAnsi="宋体" w:hint="eastAsia"/>
          <w:sz w:val="32"/>
          <w:szCs w:val="32"/>
        </w:rPr>
        <w:t>必要时，应当验证培养基、宿主蛋白、其他与工艺、产品有关的杂质和污染物的去除效果。</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第四十七条</w:t>
      </w:r>
      <w:r w:rsidRPr="00272442">
        <w:rPr>
          <w:rFonts w:ascii="楷体_GB2312" w:eastAsia="楷体_GB2312" w:hAnsi="宋体"/>
          <w:b/>
          <w:sz w:val="32"/>
          <w:szCs w:val="32"/>
        </w:rPr>
        <w:t xml:space="preserve"> </w:t>
      </w:r>
      <w:r w:rsidRPr="00272442">
        <w:rPr>
          <w:rFonts w:ascii="仿宋_GB2312" w:eastAsia="仿宋_GB2312" w:hAnsi="宋体" w:hint="eastAsia"/>
          <w:sz w:val="32"/>
          <w:szCs w:val="32"/>
        </w:rPr>
        <w:t>菌种的维护和记录的保存：</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（一）只有经授权的人员方能进入菌种存放的场所。</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（二）菌种的贮存条件应当能够保持菌种生长能力达到要求水平，并防止污染。</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（三）菌种的使用和贮存条件应当有记录。</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（四）应当对菌种定期监控，以确定其适用性。</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（五）必要时应当进行菌种鉴别。</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第四十八条</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菌种培养或发酵：</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（一）在无菌操作条件下添加细胞基质、培养基、缓冲液和气体，应当采用密闭或封闭系统。初始容器接种、转种或加料（培养基、缓冲液）使用敞口容器操作的，应当有控制措施避免污染。</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（二）当微生物污染对原料药质量有影响时，敞口容器的操作应当在适当的控制环境下进行。</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（三）操作人员应当穿着适宜的工作服，并在处理培养基时采取特殊的防护措施。</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（四）应当对工艺参数（如温度、</w:t>
      </w:r>
      <w:r w:rsidRPr="00272442">
        <w:rPr>
          <w:rFonts w:ascii="仿宋_GB2312" w:eastAsia="仿宋_GB2312" w:hAnsi="宋体"/>
          <w:sz w:val="32"/>
          <w:szCs w:val="32"/>
        </w:rPr>
        <w:t>pH</w:t>
      </w:r>
      <w:r w:rsidRPr="00272442">
        <w:rPr>
          <w:rFonts w:ascii="仿宋_GB2312" w:eastAsia="仿宋_GB2312" w:hAnsi="宋体" w:hint="eastAsia"/>
          <w:sz w:val="32"/>
          <w:szCs w:val="32"/>
        </w:rPr>
        <w:t>值、搅拌速度、通气量、压力）进行监控，保证与规定的工艺一致。必要时，还应当对菌体生长、产率进行监控。</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（五）必要时，发酵设备应当清洁、消毒或灭菌。</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（六）菌种培养基使用前应当灭菌。</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（七）应当制定监测各工序微生物污染的操作规程，并</w:t>
      </w:r>
      <w:r w:rsidRPr="00272442">
        <w:rPr>
          <w:rFonts w:ascii="仿宋_GB2312" w:eastAsia="仿宋_GB2312" w:hAnsi="宋体" w:hint="eastAsia"/>
          <w:sz w:val="32"/>
          <w:szCs w:val="32"/>
        </w:rPr>
        <w:lastRenderedPageBreak/>
        <w:t>规定所采取的措施，包括评估微生物污染对产品质量的影响，确定消除污染使工艺恢复到正常的生产条件。</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（八）应当保存所有微生物污染和处理的记录。</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（九）更换品种生产时，应当对清洁后的共用设备进行必要的检测，将交叉污染的风险降低到最低程度。</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第四十九条</w:t>
      </w:r>
      <w:r w:rsidRPr="00272442">
        <w:rPr>
          <w:rFonts w:ascii="楷体_GB2312" w:eastAsia="楷体_GB2312" w:hAnsi="宋体"/>
          <w:b/>
          <w:sz w:val="32"/>
          <w:szCs w:val="32"/>
        </w:rPr>
        <w:t xml:space="preserve"> </w:t>
      </w:r>
      <w:r w:rsidRPr="00272442">
        <w:rPr>
          <w:rFonts w:ascii="仿宋_GB2312" w:eastAsia="仿宋_GB2312" w:hAnsi="宋体" w:hint="eastAsia"/>
          <w:sz w:val="32"/>
          <w:szCs w:val="32"/>
        </w:rPr>
        <w:t>收获、分离和纯化：</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（一）收获步骤中的破碎后除去菌体或菌体碎片、收集菌体组分的操作区和所用设备的设计，应当能够将污染风险降低到最低程度。</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（二）包括菌体灭活、菌体碎片或培养基组分去除在内的收获及纯化，应当制定相应的操作规程，采取措施减少产品的降解和污染，保证所得产品具有持续稳定的质量。</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（三）分离和纯化采用敞口操作的，其环境应当能够保证产品质量。</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（四）设备用于多个产品的收获、分离、纯化时，应进行清洁，并增加相应的控制措施，如使用专用的层析介质或进行额外的检验。</w:t>
      </w:r>
    </w:p>
    <w:p w:rsidR="00FE22BF" w:rsidRPr="00272442" w:rsidRDefault="00FE22BF" w:rsidP="0012300B">
      <w:pPr>
        <w:spacing w:beforeLines="50" w:afterLines="50" w:line="560" w:lineRule="exact"/>
        <w:jc w:val="center"/>
        <w:rPr>
          <w:rFonts w:ascii="黑体" w:eastAsia="黑体"/>
          <w:sz w:val="32"/>
          <w:szCs w:val="32"/>
        </w:rPr>
      </w:pPr>
      <w:r w:rsidRPr="00272442">
        <w:rPr>
          <w:rFonts w:ascii="黑体" w:eastAsia="黑体" w:hAnsi="宋体" w:hint="eastAsia"/>
          <w:sz w:val="32"/>
          <w:szCs w:val="32"/>
        </w:rPr>
        <w:t>第十一章</w:t>
      </w:r>
      <w:r w:rsidRPr="00272442">
        <w:rPr>
          <w:rFonts w:ascii="黑体" w:eastAsia="黑体" w:hAnsi="宋体"/>
          <w:sz w:val="32"/>
          <w:szCs w:val="32"/>
        </w:rPr>
        <w:t xml:space="preserve"> </w:t>
      </w:r>
      <w:r w:rsidRPr="00272442">
        <w:rPr>
          <w:rFonts w:ascii="黑体" w:eastAsia="黑体" w:hAnsi="宋体" w:hint="eastAsia"/>
          <w:sz w:val="32"/>
          <w:szCs w:val="32"/>
        </w:rPr>
        <w:t>术语</w:t>
      </w:r>
    </w:p>
    <w:p w:rsidR="00FE22BF" w:rsidRPr="00272442" w:rsidRDefault="00FE22BF" w:rsidP="00272442">
      <w:pPr>
        <w:spacing w:line="560" w:lineRule="exact"/>
        <w:ind w:firstLineChars="200" w:firstLine="643"/>
        <w:jc w:val="left"/>
        <w:rPr>
          <w:rFonts w:ascii="仿宋_GB2312" w:eastAsia="仿宋_GB2312"/>
          <w:sz w:val="32"/>
          <w:szCs w:val="32"/>
        </w:rPr>
      </w:pPr>
      <w:r w:rsidRPr="00272442">
        <w:rPr>
          <w:rFonts w:ascii="楷体_GB2312" w:eastAsia="楷体_GB2312" w:hAnsi="宋体" w:hint="eastAsia"/>
          <w:b/>
          <w:sz w:val="32"/>
          <w:szCs w:val="32"/>
        </w:rPr>
        <w:t>第五十条</w:t>
      </w:r>
      <w:r w:rsidRPr="00272442">
        <w:rPr>
          <w:rFonts w:ascii="仿宋_GB2312" w:eastAsia="仿宋_GB2312" w:hAnsi="宋体"/>
          <w:sz w:val="32"/>
          <w:szCs w:val="32"/>
        </w:rPr>
        <w:t xml:space="preserve"> </w:t>
      </w:r>
      <w:r w:rsidRPr="00272442">
        <w:rPr>
          <w:rFonts w:ascii="仿宋_GB2312" w:eastAsia="仿宋_GB2312" w:hAnsi="宋体" w:hint="eastAsia"/>
          <w:sz w:val="32"/>
          <w:szCs w:val="32"/>
        </w:rPr>
        <w:t>下列术语含义是：</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（一）传统发酵</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指利用自然界存在的微生物或用传统方法（如辐照或化学诱变）改良的微生物来生产原料药的工艺。用“传统发酵”生产的原料药通常是小分子产品，如抗生素、氨基酸、维生素和糖类。</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lastRenderedPageBreak/>
        <w:t>（二）非无菌原料药</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法定兽药标准中未列有无菌检查项目的原料药。</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（三）关键质量属性</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指某种物理、化学、生物学或微生物学的性质，应当有适当限度、范围或分布，保证预期的产品质量。</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（四）工艺助剂</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在原料药或中间产品生产中起辅助作用、本身不参与化学或生物学反应的物料（如助滤剂、活性炭，但不包括溶剂）。</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（五）母液</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结晶或分离后剩下的残留液。</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（六）起始物料</w:t>
      </w:r>
    </w:p>
    <w:p w:rsidR="00FE22BF" w:rsidRPr="00272442" w:rsidRDefault="00FE22BF" w:rsidP="00272442">
      <w:pPr>
        <w:spacing w:line="560" w:lineRule="exact"/>
        <w:ind w:firstLineChars="200" w:firstLine="640"/>
        <w:jc w:val="left"/>
        <w:rPr>
          <w:rFonts w:ascii="仿宋_GB2312" w:eastAsia="仿宋_GB2312"/>
          <w:sz w:val="32"/>
          <w:szCs w:val="32"/>
        </w:rPr>
      </w:pPr>
      <w:r w:rsidRPr="00272442">
        <w:rPr>
          <w:rFonts w:ascii="仿宋_GB2312" w:eastAsia="仿宋_GB2312" w:hAnsi="宋体" w:hint="eastAsia"/>
          <w:sz w:val="32"/>
          <w:szCs w:val="32"/>
        </w:rPr>
        <w:t>用在原料药生产中，以主要结构单元被并入该原料药的原料、中间体或原料药。原料药的起始物料通常有特定的化学特性和结构。</w:t>
      </w:r>
    </w:p>
    <w:p w:rsidR="00724B4F" w:rsidRPr="00272442" w:rsidRDefault="00724B4F" w:rsidP="00FE22BF">
      <w:pPr>
        <w:rPr>
          <w:sz w:val="32"/>
          <w:szCs w:val="32"/>
        </w:rPr>
      </w:pPr>
    </w:p>
    <w:sectPr w:rsidR="00724B4F" w:rsidRPr="00272442" w:rsidSect="00450A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874" w:rsidRDefault="00A14874" w:rsidP="00FE22BF">
      <w:r>
        <w:separator/>
      </w:r>
    </w:p>
  </w:endnote>
  <w:endnote w:type="continuationSeparator" w:id="1">
    <w:p w:rsidR="00A14874" w:rsidRDefault="00A14874" w:rsidP="00FE22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874" w:rsidRDefault="00A14874" w:rsidP="00FE22BF">
      <w:r>
        <w:separator/>
      </w:r>
    </w:p>
  </w:footnote>
  <w:footnote w:type="continuationSeparator" w:id="1">
    <w:p w:rsidR="00A14874" w:rsidRDefault="00A14874" w:rsidP="00FE22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22BF"/>
    <w:rsid w:val="0012300B"/>
    <w:rsid w:val="00272442"/>
    <w:rsid w:val="00450A68"/>
    <w:rsid w:val="00453D02"/>
    <w:rsid w:val="00724B4F"/>
    <w:rsid w:val="00851754"/>
    <w:rsid w:val="00A14874"/>
    <w:rsid w:val="00FE22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2B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22B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E22BF"/>
    <w:rPr>
      <w:sz w:val="18"/>
      <w:szCs w:val="18"/>
    </w:rPr>
  </w:style>
  <w:style w:type="paragraph" w:styleId="a4">
    <w:name w:val="footer"/>
    <w:basedOn w:val="a"/>
    <w:link w:val="Char0"/>
    <w:uiPriority w:val="99"/>
    <w:semiHidden/>
    <w:unhideWhenUsed/>
    <w:rsid w:val="00FE22B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E22BF"/>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1215</Words>
  <Characters>6928</Characters>
  <Application>Microsoft Office Word</Application>
  <DocSecurity>0</DocSecurity>
  <Lines>57</Lines>
  <Paragraphs>16</Paragraphs>
  <ScaleCrop>false</ScaleCrop>
  <Company/>
  <LinksUpToDate>false</LinksUpToDate>
  <CharactersWithSpaces>8127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许海晨</dc:creator>
  <cp:keywords/>
  <dc:description/>
  <cp:lastModifiedBy>衡爱珠</cp:lastModifiedBy>
  <cp:revision>6</cp:revision>
  <dcterms:created xsi:type="dcterms:W3CDTF">2019-06-05T03:16:00Z</dcterms:created>
  <dcterms:modified xsi:type="dcterms:W3CDTF">2019-06-12T01:09:00Z</dcterms:modified>
</cp:coreProperties>
</file>